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36" w:rsidRDefault="00B61E32" w:rsidP="004B2BE8">
      <w:r>
        <w:rPr>
          <w:noProof/>
          <w:lang w:eastAsia="nb-NO"/>
        </w:rPr>
        <w:drawing>
          <wp:inline distT="0" distB="0" distL="0" distR="0">
            <wp:extent cx="2047164" cy="495769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n_kommune_horisontal_01_4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48" cy="51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32" w:rsidRDefault="00B61E32" w:rsidP="004B2BE8"/>
    <w:p w:rsidR="00C54A31" w:rsidRPr="00904442" w:rsidRDefault="00AB083A" w:rsidP="002F371B">
      <w:pPr>
        <w:pStyle w:val="Tittel"/>
      </w:pPr>
      <w:r>
        <w:t>Retningslinje for ferie - og fritidstilskudd i Gran kommune</w:t>
      </w:r>
    </w:p>
    <w:p w:rsidR="00C54A31" w:rsidRPr="00C54A31" w:rsidRDefault="00C54A31" w:rsidP="00C54A31"/>
    <w:p w:rsidR="00C54A31" w:rsidRDefault="00AB083A" w:rsidP="00C54A31">
      <w:pPr>
        <w:pStyle w:val="Overskrift1"/>
      </w:pPr>
      <w:r>
        <w:t>1. Formål og målgruppe</w:t>
      </w:r>
    </w:p>
    <w:p w:rsidR="00AB083A" w:rsidRDefault="00AB083A" w:rsidP="00AB083A">
      <w:r>
        <w:t>Ferietilskuddet gis til personer som på grunn av sin funksjonshemming har behov for ledsager (e)i forbindelse med ferie/helgeturer, og er avhengig av praktisk eller personlig hjelp for å klare dagliglivets gjøremål</w:t>
      </w:r>
    </w:p>
    <w:p w:rsidR="00AB083A" w:rsidRPr="00AB083A" w:rsidRDefault="00AB083A" w:rsidP="00AB083A">
      <w:r>
        <w:t>Tilskuddet skal dekke ledsager(e)s reise, kost og losji. Tilskuddet kan også dekke lønn til ledsager, der assistanse på reisen medfører flere timer enn det som ordinært dekkes i tjenestemottakerens vedtak. Støtte til behandlingsreiser gid ikke gjennom denne ordningen. Beboere i institusjon omfattes ikke av ordningen.</w:t>
      </w:r>
    </w:p>
    <w:p w:rsidR="00C54A31" w:rsidRDefault="00AB083A" w:rsidP="00C54A31">
      <w:pPr>
        <w:pStyle w:val="Overskrift1"/>
      </w:pPr>
      <w:r>
        <w:t>2.Kriterier</w:t>
      </w:r>
    </w:p>
    <w:p w:rsidR="00AB083A" w:rsidRDefault="00AB083A" w:rsidP="00AB083A">
      <w:r>
        <w:t>Søker må være bosatt i kommunen.</w:t>
      </w:r>
    </w:p>
    <w:p w:rsidR="00AB083A" w:rsidRDefault="00AB083A" w:rsidP="00AB083A">
      <w:r>
        <w:t>Søker må ha en funksjonshemming som gjør han/henne helt avhengig av praktisk eller personlig hjelp for å greie dagliglivets gjøremål.</w:t>
      </w:r>
    </w:p>
    <w:p w:rsidR="00AB083A" w:rsidRDefault="00AB083A" w:rsidP="00AB083A">
      <w:r>
        <w:t>Tilskuddet skal dekke reise, opphold og kost for ledsager, og er maksimalt på kr 20 000</w:t>
      </w:r>
    </w:p>
    <w:p w:rsidR="002A32CA" w:rsidRPr="00AB083A" w:rsidRDefault="00AB083A" w:rsidP="00AB083A">
      <w:r>
        <w:t>Midlene kan benyttes til helgetur eller feriereise. Det kan gis tilskudd for flere ledsagere for samme søker. Antall ledsagere</w:t>
      </w:r>
      <w:r w:rsidR="002A32CA">
        <w:t xml:space="preserve"> det dekkes utgifter for vurderes ut fra søkerens bistandsbehov.</w:t>
      </w:r>
    </w:p>
    <w:p w:rsidR="00AB083A" w:rsidRDefault="00AB083A" w:rsidP="00AB083A">
      <w:pPr>
        <w:pStyle w:val="Overskrift1"/>
      </w:pPr>
      <w:r>
        <w:t>3</w:t>
      </w:r>
      <w:r>
        <w:t xml:space="preserve">. </w:t>
      </w:r>
      <w:r>
        <w:t>Prioritering</w:t>
      </w:r>
    </w:p>
    <w:p w:rsidR="002A32CA" w:rsidRDefault="002A32CA" w:rsidP="002A32CA">
      <w:r>
        <w:t>Søknader prioriteres i følgende rekkefølge:</w:t>
      </w:r>
    </w:p>
    <w:p w:rsidR="002A32CA" w:rsidRDefault="002A32CA" w:rsidP="002A32CA">
      <w:pPr>
        <w:pStyle w:val="Listeavsnitt"/>
        <w:numPr>
          <w:ilvl w:val="0"/>
          <w:numId w:val="3"/>
        </w:numPr>
      </w:pPr>
      <w:r>
        <w:t xml:space="preserve">Søkere som ikke har mottatt slikt tilskudd tidligere prioriteres. </w:t>
      </w:r>
    </w:p>
    <w:p w:rsidR="002A32CA" w:rsidRDefault="002A32CA" w:rsidP="002A32CA">
      <w:pPr>
        <w:pStyle w:val="Listeavsnitt"/>
        <w:numPr>
          <w:ilvl w:val="0"/>
          <w:numId w:val="3"/>
        </w:numPr>
      </w:pPr>
      <w:r>
        <w:t>Rimelige reisemål støttes framfor dyre reisemål dersom flere søkere kan motta tilskudd samlet sett</w:t>
      </w:r>
    </w:p>
    <w:p w:rsidR="002A32CA" w:rsidRPr="002A32CA" w:rsidRDefault="002A32CA" w:rsidP="002A32CA">
      <w:pPr>
        <w:pStyle w:val="Listeavsnitt"/>
        <w:numPr>
          <w:ilvl w:val="0"/>
          <w:numId w:val="3"/>
        </w:numPr>
      </w:pPr>
      <w:r>
        <w:t>Yngre søkere prioriteres foran eldre søkere</w:t>
      </w:r>
    </w:p>
    <w:p w:rsidR="00AB083A" w:rsidRDefault="00AB083A" w:rsidP="00AB083A">
      <w:pPr>
        <w:pStyle w:val="Overskrift1"/>
      </w:pPr>
      <w:r>
        <w:t>4</w:t>
      </w:r>
      <w:r>
        <w:t xml:space="preserve">. </w:t>
      </w:r>
      <w:r w:rsidR="002A32CA">
        <w:t>U</w:t>
      </w:r>
      <w:r>
        <w:t>tbetaling, dokumentasjon og tilbakebetaling av ubrukte midler</w:t>
      </w:r>
    </w:p>
    <w:p w:rsidR="002A32CA" w:rsidRDefault="002A32CA" w:rsidP="002A32CA">
      <w:r>
        <w:t>Tilskuddet innvilges for det aktuelle søknadsåret (01. mars- 28. februar) og kan ikke overføres til et annet søknads år.</w:t>
      </w:r>
    </w:p>
    <w:p w:rsidR="002A32CA" w:rsidRDefault="002A32CA" w:rsidP="002A32CA">
      <w:r>
        <w:t>Ferietilskuddet utbetales forskuddsvis til søker, og søker må levere regnskap med underliggende dokumentasjon senest en måned etter hjemkomst. Eventuelle ubenyttede midler tilbakebetales.</w:t>
      </w:r>
    </w:p>
    <w:p w:rsidR="002A32CA" w:rsidRPr="002A32CA" w:rsidRDefault="002A32CA" w:rsidP="002A32CA">
      <w:r>
        <w:lastRenderedPageBreak/>
        <w:t>For tjenestemottakere med brukerstyrt personlig assistanse (BPA) kan støtten legges til driftskontoen som administreres av tjenesteleverandør. Fakturering fra tjenesteleverandør gjennomføres i henhold til avtale om tjenestekonsesjon.</w:t>
      </w:r>
    </w:p>
    <w:p w:rsidR="00302DD8" w:rsidRDefault="00302DD8" w:rsidP="00C54A31"/>
    <w:p w:rsidR="00AB083A" w:rsidRDefault="00AB083A" w:rsidP="00AB083A">
      <w:pPr>
        <w:pStyle w:val="Overskrift1"/>
      </w:pPr>
      <w:r>
        <w:t>5</w:t>
      </w:r>
      <w:r>
        <w:t xml:space="preserve">. </w:t>
      </w:r>
      <w:r>
        <w:t>Vilkår for ordningen</w:t>
      </w:r>
    </w:p>
    <w:p w:rsidR="002A32CA" w:rsidRDefault="002A32CA" w:rsidP="002A32CA">
      <w:r>
        <w:t>Søkere må sende skriftlig søknad innen annonsert frist.</w:t>
      </w:r>
    </w:p>
    <w:p w:rsidR="002A32CA" w:rsidRDefault="002A32CA" w:rsidP="002A32CA">
      <w:r>
        <w:t>Budsjett som viser forventede utgifter til reise, kost og losji for ledsager vedlegges søknaden og dokumenteres så langt som mulig</w:t>
      </w:r>
    </w:p>
    <w:p w:rsidR="002A32CA" w:rsidRPr="002A32CA" w:rsidRDefault="002A32CA" w:rsidP="002A32CA">
      <w:r>
        <w:t xml:space="preserve">Feil opplysninger, manglende regnskap eller annen mislighold kan medføre krav om tilbakebetaling, og eventuell utestenging av tilskuddsordningen inntil tre år. </w:t>
      </w:r>
      <w:bookmarkStart w:id="0" w:name="_GoBack"/>
      <w:bookmarkEnd w:id="0"/>
    </w:p>
    <w:p w:rsidR="00895BFE" w:rsidRDefault="00895BFE" w:rsidP="00895BFE"/>
    <w:p w:rsidR="00895BFE" w:rsidRDefault="00895BFE" w:rsidP="00895BFE"/>
    <w:p w:rsidR="00895BFE" w:rsidRDefault="00895BFE" w:rsidP="00895BFE"/>
    <w:p w:rsidR="00895BFE" w:rsidRDefault="00895BFE" w:rsidP="00895BFE"/>
    <w:p w:rsidR="00B61E32" w:rsidRPr="00C54A31" w:rsidRDefault="00B61E32" w:rsidP="00C54A31"/>
    <w:sectPr w:rsidR="00B61E32" w:rsidRPr="00C54A31" w:rsidSect="001B4788">
      <w:headerReference w:type="default" r:id="rId9"/>
      <w:pgSz w:w="11906" w:h="1683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10" w:rsidRDefault="00A01010" w:rsidP="004B2BE8">
      <w:pPr>
        <w:spacing w:after="0" w:line="240" w:lineRule="auto"/>
      </w:pPr>
      <w:r>
        <w:separator/>
      </w:r>
    </w:p>
  </w:endnote>
  <w:endnote w:type="continuationSeparator" w:id="0">
    <w:p w:rsidR="00A01010" w:rsidRDefault="00A01010" w:rsidP="004B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10" w:rsidRDefault="00A01010" w:rsidP="004B2BE8">
      <w:pPr>
        <w:spacing w:after="0" w:line="240" w:lineRule="auto"/>
      </w:pPr>
      <w:r>
        <w:separator/>
      </w:r>
    </w:p>
  </w:footnote>
  <w:footnote w:type="continuationSeparator" w:id="0">
    <w:p w:rsidR="00A01010" w:rsidRDefault="00A01010" w:rsidP="004B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E8" w:rsidRDefault="004B2BE8">
    <w:pPr>
      <w:pStyle w:val="Topptekst"/>
    </w:pPr>
  </w:p>
  <w:p w:rsidR="004B2BE8" w:rsidRDefault="004B2B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2F9A"/>
    <w:multiLevelType w:val="hybridMultilevel"/>
    <w:tmpl w:val="EC6EF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95D03"/>
    <w:multiLevelType w:val="hybridMultilevel"/>
    <w:tmpl w:val="2E8611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420CF"/>
    <w:multiLevelType w:val="hybridMultilevel"/>
    <w:tmpl w:val="A134F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C2"/>
    <w:rsid w:val="001B4788"/>
    <w:rsid w:val="00284EC2"/>
    <w:rsid w:val="002A32CA"/>
    <w:rsid w:val="002F371B"/>
    <w:rsid w:val="002F44D6"/>
    <w:rsid w:val="00302DD8"/>
    <w:rsid w:val="00324A36"/>
    <w:rsid w:val="004B2BE8"/>
    <w:rsid w:val="00505A36"/>
    <w:rsid w:val="00581EED"/>
    <w:rsid w:val="00895BFE"/>
    <w:rsid w:val="00904442"/>
    <w:rsid w:val="00A01010"/>
    <w:rsid w:val="00AB083A"/>
    <w:rsid w:val="00B61E32"/>
    <w:rsid w:val="00C54A31"/>
    <w:rsid w:val="00D05660"/>
    <w:rsid w:val="00DE0711"/>
    <w:rsid w:val="00EC54B2"/>
    <w:rsid w:val="00F51796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2142A"/>
  <w15:chartTrackingRefBased/>
  <w15:docId w15:val="{2B44B052-C56B-4B9C-8A01-E34D4883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42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4442"/>
    <w:pPr>
      <w:keepNext/>
      <w:keepLines/>
      <w:spacing w:before="240" w:after="0"/>
      <w:outlineLvl w:val="0"/>
    </w:pPr>
    <w:rPr>
      <w:rFonts w:eastAsiaTheme="majorEastAsia" w:cstheme="majorBidi"/>
      <w:b/>
      <w:color w:val="E43C2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0444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F371B"/>
    <w:pPr>
      <w:spacing w:after="0" w:line="240" w:lineRule="auto"/>
      <w:contextualSpacing/>
      <w:jc w:val="center"/>
    </w:pPr>
    <w:rPr>
      <w:rFonts w:eastAsiaTheme="majorEastAsia" w:cstheme="majorBidi"/>
      <w:b/>
      <w:color w:val="E43C2F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F371B"/>
    <w:rPr>
      <w:rFonts w:ascii="Montserrat" w:eastAsiaTheme="majorEastAsia" w:hAnsi="Montserrat" w:cstheme="majorBidi"/>
      <w:b/>
      <w:color w:val="E43C2F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54A31"/>
    <w:pPr>
      <w:numPr>
        <w:ilvl w:val="1"/>
      </w:numPr>
      <w:jc w:val="center"/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54A31"/>
    <w:rPr>
      <w:rFonts w:ascii="Montserrat" w:eastAsiaTheme="minorEastAsia" w:hAnsi="Montserrat"/>
      <w:color w:val="E43C2F"/>
      <w:spacing w:val="15"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04442"/>
    <w:rPr>
      <w:rFonts w:ascii="Montserrat" w:eastAsiaTheme="majorEastAsia" w:hAnsi="Montserrat" w:cstheme="majorBidi"/>
      <w:b/>
      <w:sz w:val="24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04442"/>
    <w:rPr>
      <w:rFonts w:ascii="Montserrat" w:eastAsiaTheme="majorEastAsia" w:hAnsi="Montserrat" w:cstheme="majorBidi"/>
      <w:b/>
      <w:color w:val="E43C2F"/>
      <w:sz w:val="28"/>
      <w:szCs w:val="32"/>
    </w:rPr>
  </w:style>
  <w:style w:type="paragraph" w:styleId="Ingenmellomrom">
    <w:name w:val="No Spacing"/>
    <w:uiPriority w:val="1"/>
    <w:qFormat/>
    <w:rsid w:val="004B2BE8"/>
    <w:pPr>
      <w:spacing w:after="0" w:line="240" w:lineRule="auto"/>
    </w:pPr>
    <w:rPr>
      <w:rFonts w:ascii="Montserrat" w:hAnsi="Montserrat"/>
      <w:sz w:val="24"/>
    </w:rPr>
  </w:style>
  <w:style w:type="character" w:styleId="Svakutheving">
    <w:name w:val="Subtle Emphasis"/>
    <w:basedOn w:val="Standardskriftforavsnitt"/>
    <w:uiPriority w:val="19"/>
    <w:qFormat/>
    <w:rsid w:val="004B2BE8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4B2BE8"/>
    <w:rPr>
      <w:b w:val="0"/>
      <w:i/>
      <w:iCs/>
    </w:rPr>
  </w:style>
  <w:style w:type="character" w:styleId="Sterkutheving">
    <w:name w:val="Intense Emphasis"/>
    <w:basedOn w:val="Standardskriftforavsnitt"/>
    <w:uiPriority w:val="21"/>
    <w:qFormat/>
    <w:rsid w:val="004B2BE8"/>
    <w:rPr>
      <w:i/>
      <w:iCs/>
      <w:color w:val="E43C2F"/>
    </w:rPr>
  </w:style>
  <w:style w:type="paragraph" w:styleId="Sitat">
    <w:name w:val="Quote"/>
    <w:basedOn w:val="Normal"/>
    <w:next w:val="Normal"/>
    <w:link w:val="SitatTegn"/>
    <w:uiPriority w:val="29"/>
    <w:qFormat/>
    <w:rsid w:val="004B2B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B2BE8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B2BE8"/>
    <w:pPr>
      <w:framePr w:wrap="around" w:vAnchor="text" w:hAnchor="text" w:y="1"/>
      <w:pBdr>
        <w:top w:val="single" w:sz="4" w:space="10" w:color="E43C2F"/>
        <w:bottom w:val="single" w:sz="4" w:space="10" w:color="E43C2F"/>
      </w:pBdr>
      <w:spacing w:before="360" w:after="360" w:line="240" w:lineRule="auto"/>
      <w:ind w:left="862" w:right="862"/>
      <w:jc w:val="center"/>
    </w:pPr>
    <w:rPr>
      <w:i/>
      <w:iCs/>
      <w:color w:val="E43C2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B2BE8"/>
    <w:rPr>
      <w:rFonts w:ascii="Montserrat" w:hAnsi="Montserrat"/>
      <w:i/>
      <w:iCs/>
      <w:color w:val="E43C2F"/>
      <w:sz w:val="20"/>
    </w:rPr>
  </w:style>
  <w:style w:type="character" w:styleId="Sterkreferanse">
    <w:name w:val="Intense Reference"/>
    <w:basedOn w:val="Standardskriftforavsnitt"/>
    <w:uiPriority w:val="32"/>
    <w:qFormat/>
    <w:rsid w:val="004B2BE8"/>
    <w:rPr>
      <w:rFonts w:ascii="Montserrat" w:hAnsi="Montserrat"/>
      <w:b/>
      <w:bCs/>
      <w:smallCaps/>
      <w:color w:val="E43C2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B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2BE8"/>
    <w:rPr>
      <w:rFonts w:ascii="Montserrat" w:hAnsi="Montserrat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B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2BE8"/>
    <w:rPr>
      <w:rFonts w:ascii="Montserrat" w:hAnsi="Montserrat"/>
      <w:sz w:val="20"/>
    </w:rPr>
  </w:style>
  <w:style w:type="paragraph" w:styleId="Listeavsnitt">
    <w:name w:val="List Paragraph"/>
    <w:basedOn w:val="Normal"/>
    <w:uiPriority w:val="34"/>
    <w:qFormat/>
    <w:rsid w:val="00C5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R-FIL08\Maler\Mal%20for%20reglementer%20og%20retningslinjer.dotx" TargetMode="External"/></Relationships>
</file>

<file path=word/theme/theme1.xml><?xml version="1.0" encoding="utf-8"?>
<a:theme xmlns:a="http://schemas.openxmlformats.org/drawingml/2006/main" name="Office-tema">
  <a:themeElements>
    <a:clrScheme name="Gran kommune nye farger">
      <a:dk1>
        <a:sysClr val="windowText" lastClr="000000"/>
      </a:dk1>
      <a:lt1>
        <a:sysClr val="window" lastClr="FFFFFF"/>
      </a:lt1>
      <a:dk2>
        <a:srgbClr val="857972"/>
      </a:dk2>
      <a:lt2>
        <a:srgbClr val="BFB7B0"/>
      </a:lt2>
      <a:accent1>
        <a:srgbClr val="E43C2F"/>
      </a:accent1>
      <a:accent2>
        <a:srgbClr val="E43C2F"/>
      </a:accent2>
      <a:accent3>
        <a:srgbClr val="F08212"/>
      </a:accent3>
      <a:accent4>
        <a:srgbClr val="70984B"/>
      </a:accent4>
      <a:accent5>
        <a:srgbClr val="0B7482"/>
      </a:accent5>
      <a:accent6>
        <a:srgbClr val="812247"/>
      </a:accent6>
      <a:hlink>
        <a:srgbClr val="F08212"/>
      </a:hlink>
      <a:folHlink>
        <a:srgbClr val="8122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3B26-8F9E-43BA-ABA0-ADD43FA7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reglementer og retningslinjer</Template>
  <TotalTime>19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Kristin Reinli</dc:creator>
  <cp:keywords/>
  <dc:description/>
  <cp:lastModifiedBy>Gunn Kristin Reinli</cp:lastModifiedBy>
  <cp:revision>2</cp:revision>
  <dcterms:created xsi:type="dcterms:W3CDTF">2022-03-30T10:56:00Z</dcterms:created>
  <dcterms:modified xsi:type="dcterms:W3CDTF">2022-03-30T11:15:00Z</dcterms:modified>
</cp:coreProperties>
</file>